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2E" w:rsidRDefault="003E529B">
      <w:pPr>
        <w:rPr>
          <w:rFonts w:ascii="Arial" w:hAnsi="Arial" w:cs="Arial"/>
          <w:sz w:val="32"/>
          <w:szCs w:val="32"/>
        </w:rPr>
      </w:pPr>
      <w:r>
        <w:rPr>
          <w:rFonts w:ascii="Arial" w:hAnsi="Arial" w:cs="Arial"/>
          <w:sz w:val="32"/>
          <w:szCs w:val="32"/>
        </w:rPr>
        <w:t>Appendix '</w:t>
      </w:r>
      <w:bookmarkStart w:id="0" w:name="_GoBack"/>
      <w:bookmarkEnd w:id="0"/>
      <w:r>
        <w:rPr>
          <w:rFonts w:ascii="Arial" w:hAnsi="Arial" w:cs="Arial"/>
          <w:sz w:val="32"/>
          <w:szCs w:val="32"/>
        </w:rPr>
        <w:t xml:space="preserve">A' - </w:t>
      </w:r>
      <w:r w:rsidR="008273E8">
        <w:rPr>
          <w:rFonts w:ascii="Arial" w:hAnsi="Arial" w:cs="Arial"/>
          <w:sz w:val="32"/>
          <w:szCs w:val="32"/>
        </w:rPr>
        <w:t>Lancashire County Pension Fund Quality of Service Report April 2015</w:t>
      </w:r>
    </w:p>
    <w:tbl>
      <w:tblPr>
        <w:tblW w:w="15455" w:type="dxa"/>
        <w:tblInd w:w="-436" w:type="dxa"/>
        <w:tblLook w:val="04A0" w:firstRow="1" w:lastRow="0" w:firstColumn="1" w:lastColumn="0" w:noHBand="0" w:noVBand="1"/>
      </w:tblPr>
      <w:tblGrid>
        <w:gridCol w:w="710"/>
        <w:gridCol w:w="9586"/>
        <w:gridCol w:w="1720"/>
        <w:gridCol w:w="1877"/>
        <w:gridCol w:w="1562"/>
      </w:tblGrid>
      <w:tr w:rsidR="008273E8" w:rsidRPr="008273E8" w:rsidTr="00F04FFC">
        <w:trPr>
          <w:trHeight w:val="264"/>
        </w:trPr>
        <w:tc>
          <w:tcPr>
            <w:tcW w:w="710" w:type="dxa"/>
            <w:vMerge w:val="restart"/>
            <w:tcBorders>
              <w:top w:val="single" w:sz="8" w:space="0" w:color="auto"/>
              <w:left w:val="single" w:sz="8" w:space="0" w:color="auto"/>
              <w:bottom w:val="single" w:sz="8" w:space="0" w:color="000000"/>
              <w:right w:val="single" w:sz="8" w:space="0" w:color="auto"/>
            </w:tcBorders>
            <w:shd w:val="clear" w:color="000000" w:fill="548DD4"/>
            <w:vAlign w:val="bottom"/>
            <w:hideMark/>
          </w:tcPr>
          <w:p w:rsidR="008273E8" w:rsidRPr="008273E8" w:rsidRDefault="008273E8" w:rsidP="008273E8">
            <w:pPr>
              <w:spacing w:after="0" w:line="240" w:lineRule="auto"/>
              <w:jc w:val="both"/>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No.</w:t>
            </w:r>
          </w:p>
        </w:tc>
        <w:tc>
          <w:tcPr>
            <w:tcW w:w="9586" w:type="dxa"/>
            <w:vMerge w:val="restart"/>
            <w:tcBorders>
              <w:top w:val="single" w:sz="8" w:space="0" w:color="auto"/>
              <w:left w:val="single" w:sz="8" w:space="0" w:color="auto"/>
              <w:bottom w:val="single" w:sz="8" w:space="0" w:color="000000"/>
              <w:right w:val="nil"/>
            </w:tcBorders>
            <w:shd w:val="clear" w:color="000000" w:fill="548DD4"/>
            <w:vAlign w:val="bottom"/>
            <w:hideMark/>
          </w:tcPr>
          <w:p w:rsidR="008273E8" w:rsidRPr="008273E8" w:rsidRDefault="008273E8" w:rsidP="008273E8">
            <w:pPr>
              <w:spacing w:after="0" w:line="240" w:lineRule="auto"/>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Detailed Definition of Service Level</w:t>
            </w:r>
          </w:p>
        </w:tc>
        <w:tc>
          <w:tcPr>
            <w:tcW w:w="1720" w:type="dxa"/>
            <w:tcBorders>
              <w:top w:val="single" w:sz="8" w:space="0" w:color="auto"/>
              <w:left w:val="single" w:sz="8" w:space="0" w:color="auto"/>
              <w:bottom w:val="nil"/>
              <w:right w:val="single" w:sz="8"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 </w:t>
            </w:r>
          </w:p>
        </w:tc>
        <w:tc>
          <w:tcPr>
            <w:tcW w:w="1877" w:type="dxa"/>
            <w:tcBorders>
              <w:top w:val="single" w:sz="8" w:space="0" w:color="auto"/>
              <w:left w:val="nil"/>
              <w:bottom w:val="nil"/>
              <w:right w:val="single" w:sz="8"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 </w:t>
            </w:r>
          </w:p>
        </w:tc>
        <w:tc>
          <w:tcPr>
            <w:tcW w:w="1562" w:type="dxa"/>
            <w:tcBorders>
              <w:top w:val="single" w:sz="4" w:space="0" w:color="auto"/>
              <w:left w:val="nil"/>
              <w:right w:val="single" w:sz="4"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 </w:t>
            </w:r>
          </w:p>
        </w:tc>
      </w:tr>
      <w:tr w:rsidR="008273E8" w:rsidRPr="008273E8" w:rsidTr="00F04FFC">
        <w:trPr>
          <w:trHeight w:val="528"/>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b/>
                <w:bCs/>
                <w:color w:val="FFFFFF"/>
                <w:sz w:val="20"/>
                <w:szCs w:val="20"/>
                <w:lang w:eastAsia="en-GB"/>
              </w:rPr>
            </w:pPr>
          </w:p>
        </w:tc>
        <w:tc>
          <w:tcPr>
            <w:tcW w:w="9586" w:type="dxa"/>
            <w:vMerge/>
            <w:tcBorders>
              <w:top w:val="single" w:sz="8" w:space="0" w:color="auto"/>
              <w:left w:val="single" w:sz="8" w:space="0" w:color="auto"/>
              <w:bottom w:val="single" w:sz="8" w:space="0" w:color="000000"/>
              <w:right w:val="nil"/>
            </w:tcBorders>
            <w:vAlign w:val="center"/>
            <w:hideMark/>
          </w:tcPr>
          <w:p w:rsidR="008273E8" w:rsidRPr="008273E8" w:rsidRDefault="008273E8" w:rsidP="008273E8">
            <w:pPr>
              <w:spacing w:after="0" w:line="240" w:lineRule="auto"/>
              <w:rPr>
                <w:rFonts w:ascii="Arial" w:eastAsia="Times New Roman" w:hAnsi="Arial" w:cs="Arial"/>
                <w:b/>
                <w:bCs/>
                <w:color w:val="FFFFFF"/>
                <w:sz w:val="20"/>
                <w:szCs w:val="20"/>
                <w:lang w:eastAsia="en-GB"/>
              </w:rPr>
            </w:pPr>
          </w:p>
        </w:tc>
        <w:tc>
          <w:tcPr>
            <w:tcW w:w="1720" w:type="dxa"/>
            <w:tcBorders>
              <w:top w:val="nil"/>
              <w:left w:val="single" w:sz="8" w:space="0" w:color="auto"/>
              <w:bottom w:val="nil"/>
              <w:right w:val="single" w:sz="8"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 </w:t>
            </w:r>
          </w:p>
        </w:tc>
        <w:tc>
          <w:tcPr>
            <w:tcW w:w="1877" w:type="dxa"/>
            <w:tcBorders>
              <w:top w:val="nil"/>
              <w:left w:val="nil"/>
              <w:bottom w:val="nil"/>
              <w:right w:val="single" w:sz="8"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Monthly Performance</w:t>
            </w:r>
          </w:p>
        </w:tc>
        <w:tc>
          <w:tcPr>
            <w:tcW w:w="1562" w:type="dxa"/>
            <w:tcBorders>
              <w:top w:val="nil"/>
              <w:left w:val="nil"/>
              <w:right w:val="single" w:sz="4"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Performance Year to Date</w:t>
            </w:r>
          </w:p>
        </w:tc>
      </w:tr>
      <w:tr w:rsidR="008273E8" w:rsidRPr="008273E8" w:rsidTr="00F04FFC">
        <w:trPr>
          <w:trHeight w:val="276"/>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b/>
                <w:bCs/>
                <w:color w:val="FFFFFF"/>
                <w:sz w:val="20"/>
                <w:szCs w:val="20"/>
                <w:lang w:eastAsia="en-GB"/>
              </w:rPr>
            </w:pPr>
          </w:p>
        </w:tc>
        <w:tc>
          <w:tcPr>
            <w:tcW w:w="9586" w:type="dxa"/>
            <w:vMerge/>
            <w:tcBorders>
              <w:top w:val="single" w:sz="8" w:space="0" w:color="auto"/>
              <w:left w:val="single" w:sz="8" w:space="0" w:color="auto"/>
              <w:bottom w:val="single" w:sz="8" w:space="0" w:color="000000"/>
              <w:right w:val="nil"/>
            </w:tcBorders>
            <w:vAlign w:val="center"/>
            <w:hideMark/>
          </w:tcPr>
          <w:p w:rsidR="008273E8" w:rsidRPr="008273E8" w:rsidRDefault="008273E8" w:rsidP="008273E8">
            <w:pPr>
              <w:spacing w:after="0" w:line="240" w:lineRule="auto"/>
              <w:rPr>
                <w:rFonts w:ascii="Arial" w:eastAsia="Times New Roman" w:hAnsi="Arial" w:cs="Arial"/>
                <w:b/>
                <w:bCs/>
                <w:color w:val="FFFFFF"/>
                <w:sz w:val="20"/>
                <w:szCs w:val="20"/>
                <w:lang w:eastAsia="en-GB"/>
              </w:rPr>
            </w:pPr>
          </w:p>
        </w:tc>
        <w:tc>
          <w:tcPr>
            <w:tcW w:w="1720" w:type="dxa"/>
            <w:tcBorders>
              <w:top w:val="nil"/>
              <w:left w:val="single" w:sz="8" w:space="0" w:color="auto"/>
              <w:bottom w:val="single" w:sz="8" w:space="0" w:color="auto"/>
              <w:right w:val="single" w:sz="8"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Target</w:t>
            </w:r>
          </w:p>
        </w:tc>
        <w:tc>
          <w:tcPr>
            <w:tcW w:w="1877" w:type="dxa"/>
            <w:tcBorders>
              <w:top w:val="nil"/>
              <w:left w:val="nil"/>
              <w:bottom w:val="single" w:sz="8" w:space="0" w:color="auto"/>
              <w:right w:val="single" w:sz="8"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 </w:t>
            </w:r>
          </w:p>
        </w:tc>
        <w:tc>
          <w:tcPr>
            <w:tcW w:w="1562" w:type="dxa"/>
            <w:tcBorders>
              <w:top w:val="nil"/>
              <w:left w:val="nil"/>
              <w:bottom w:val="single" w:sz="8" w:space="0" w:color="auto"/>
              <w:right w:val="single" w:sz="4" w:space="0" w:color="auto"/>
            </w:tcBorders>
            <w:shd w:val="clear" w:color="000000" w:fill="548DD4"/>
            <w:hideMark/>
          </w:tcPr>
          <w:p w:rsidR="008273E8" w:rsidRPr="008273E8" w:rsidRDefault="008273E8" w:rsidP="008273E8">
            <w:pPr>
              <w:spacing w:after="0" w:line="240" w:lineRule="auto"/>
              <w:jc w:val="center"/>
              <w:rPr>
                <w:rFonts w:ascii="Arial" w:eastAsia="Times New Roman" w:hAnsi="Arial" w:cs="Arial"/>
                <w:b/>
                <w:bCs/>
                <w:color w:val="FFFFFF"/>
                <w:sz w:val="20"/>
                <w:szCs w:val="20"/>
                <w:lang w:eastAsia="en-GB"/>
              </w:rPr>
            </w:pPr>
            <w:r w:rsidRPr="008273E8">
              <w:rPr>
                <w:rFonts w:ascii="Arial" w:eastAsia="Times New Roman" w:hAnsi="Arial" w:cs="Arial"/>
                <w:b/>
                <w:bCs/>
                <w:color w:val="FFFFFF"/>
                <w:sz w:val="20"/>
                <w:szCs w:val="20"/>
                <w:lang w:eastAsia="en-GB"/>
              </w:rPr>
              <w:t> </w:t>
            </w:r>
          </w:p>
        </w:tc>
      </w:tr>
      <w:tr w:rsidR="008273E8" w:rsidRPr="008273E8" w:rsidTr="00F04FFC">
        <w:trPr>
          <w:trHeight w:val="300"/>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Amend personal records within ten working days of receipt of required documentation.</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vMerge w:val="restart"/>
            <w:tcBorders>
              <w:top w:val="single" w:sz="8" w:space="0" w:color="auto"/>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315"/>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single" w:sz="8" w:space="0" w:color="auto"/>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2</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Providing an annual statement of benefit entitlement to all active and deferred members, including an assessment of HMRC limits.</w:t>
            </w:r>
          </w:p>
        </w:tc>
        <w:tc>
          <w:tcPr>
            <w:tcW w:w="172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3</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Calculation of additional membership for transfer values within 10 working days of receipt of transfer details.</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4</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Action agreed transfer values within 10 days of receipt of acceptance.</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5</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Provide information on request in respect of Pension Sharing on Divorce within legislative timescales.</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6</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xml:space="preserve">Implement Pension Sharing Orders within legislative timescales. </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0%</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7</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Provide a statement of deferred benefit entitlement on leaving service within 15 working days of date of leaving or receipt of notification, whichever is later.</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315"/>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95%</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95%</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8</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Respond to requests for estimates of benefits in relation to retirement, leaving service or on death within 10 working days following receipt of request.</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315"/>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93%</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93%</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Calculating and paying refunds of pension contributions, including deducting statutory deductions in accordance with HMRC and DWP regulations within 15 working days of receipt of notification.</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91%</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91%</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Default="008273E8" w:rsidP="008273E8">
            <w:pPr>
              <w:spacing w:after="0" w:line="240" w:lineRule="auto"/>
              <w:jc w:val="both"/>
              <w:rPr>
                <w:rFonts w:ascii="Arial" w:eastAsia="Times New Roman" w:hAnsi="Arial" w:cs="Arial"/>
                <w:color w:val="000000"/>
                <w:sz w:val="20"/>
                <w:szCs w:val="20"/>
                <w:lang w:eastAsia="en-GB"/>
              </w:rPr>
            </w:pPr>
          </w:p>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w:t>
            </w:r>
          </w:p>
        </w:tc>
        <w:tc>
          <w:tcPr>
            <w:tcW w:w="9586"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Respond to general correspondence within ten working days of receipt.</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96%</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96%</w:t>
            </w:r>
          </w:p>
        </w:tc>
      </w:tr>
      <w:tr w:rsidR="008273E8" w:rsidRPr="008273E8" w:rsidTr="00F04FFC">
        <w:trPr>
          <w:trHeight w:val="276"/>
        </w:trPr>
        <w:tc>
          <w:tcPr>
            <w:tcW w:w="710" w:type="dxa"/>
            <w:vMerge/>
            <w:tcBorders>
              <w:top w:val="nil"/>
              <w:left w:val="single" w:sz="8" w:space="0" w:color="auto"/>
              <w:bottom w:val="single" w:sz="4" w:space="0" w:color="auto"/>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tcBorders>
              <w:top w:val="nil"/>
              <w:left w:val="nil"/>
              <w:bottom w:val="single" w:sz="4" w:space="0" w:color="auto"/>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720" w:type="dxa"/>
            <w:tcBorders>
              <w:top w:val="nil"/>
              <w:left w:val="nil"/>
              <w:bottom w:val="single" w:sz="4" w:space="0" w:color="auto"/>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single" w:sz="4"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single" w:sz="4"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F04FFC">
        <w:trPr>
          <w:trHeight w:val="264"/>
        </w:trPr>
        <w:tc>
          <w:tcPr>
            <w:tcW w:w="710" w:type="dxa"/>
            <w:vMerge w:val="restart"/>
            <w:tcBorders>
              <w:top w:val="single" w:sz="4" w:space="0" w:color="auto"/>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lastRenderedPageBreak/>
              <w:t>11</w:t>
            </w:r>
          </w:p>
        </w:tc>
        <w:tc>
          <w:tcPr>
            <w:tcW w:w="9586" w:type="dxa"/>
            <w:vMerge w:val="restart"/>
            <w:tcBorders>
              <w:top w:val="single" w:sz="4" w:space="0" w:color="auto"/>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Calls to the Pensions' Helpdesk answered.</w:t>
            </w:r>
          </w:p>
        </w:tc>
        <w:tc>
          <w:tcPr>
            <w:tcW w:w="1720" w:type="dxa"/>
            <w:tcBorders>
              <w:top w:val="single" w:sz="4" w:space="0" w:color="auto"/>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val="restart"/>
            <w:tcBorders>
              <w:top w:val="single" w:sz="4" w:space="0" w:color="auto"/>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N/A</w:t>
            </w:r>
          </w:p>
        </w:tc>
        <w:tc>
          <w:tcPr>
            <w:tcW w:w="1562" w:type="dxa"/>
            <w:vMerge w:val="restart"/>
            <w:tcBorders>
              <w:top w:val="single" w:sz="4" w:space="0" w:color="auto"/>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N/A</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12</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Calculation and payment of retirement benefits, deferred benefits and death in service lump sums in accordance with LGPS rules, members’ options and statutory limits.  The service includes the recalculation and payment of benefits as a result of amended data received by Lancashire Pensions Services. Within 10</w:t>
            </w:r>
            <w:r w:rsidRPr="008273E8">
              <w:rPr>
                <w:rFonts w:ascii="Arial" w:eastAsia="Times New Roman" w:hAnsi="Arial" w:cs="Arial"/>
                <w:b/>
                <w:bCs/>
                <w:i/>
                <w:iCs/>
                <w:color w:val="000000"/>
                <w:sz w:val="20"/>
                <w:szCs w:val="20"/>
                <w:lang w:eastAsia="en-GB"/>
              </w:rPr>
              <w:t xml:space="preserve"> </w:t>
            </w:r>
            <w:r w:rsidRPr="008273E8">
              <w:rPr>
                <w:rFonts w:ascii="Arial" w:eastAsia="Times New Roman" w:hAnsi="Arial" w:cs="Arial"/>
                <w:color w:val="000000"/>
                <w:sz w:val="20"/>
                <w:szCs w:val="20"/>
                <w:lang w:eastAsia="en-GB"/>
              </w:rPr>
              <w:t>working days of receipt of notification or date of entitlement to benefit; whichever is later.</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660"/>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13</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Advise transfer value out within 15 working days of receipt of necessary documentation.</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r>
      <w:tr w:rsidR="008273E8" w:rsidRPr="008273E8" w:rsidTr="008273E8">
        <w:trPr>
          <w:trHeight w:val="276"/>
        </w:trPr>
        <w:tc>
          <w:tcPr>
            <w:tcW w:w="710" w:type="dxa"/>
            <w:tcBorders>
              <w:top w:val="nil"/>
              <w:left w:val="single" w:sz="8" w:space="0" w:color="auto"/>
              <w:bottom w:val="single" w:sz="8" w:space="0" w:color="auto"/>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14</w:t>
            </w:r>
          </w:p>
        </w:tc>
        <w:tc>
          <w:tcPr>
            <w:tcW w:w="9586"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Action agreed transfer values out within 15 working days of receipt of acceptance.</w:t>
            </w: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75%</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75%</w:t>
            </w:r>
          </w:p>
        </w:tc>
      </w:tr>
      <w:tr w:rsidR="008273E8" w:rsidRPr="008273E8" w:rsidTr="008273E8">
        <w:trPr>
          <w:trHeight w:val="276"/>
        </w:trPr>
        <w:tc>
          <w:tcPr>
            <w:tcW w:w="710" w:type="dxa"/>
            <w:tcBorders>
              <w:top w:val="nil"/>
              <w:left w:val="single" w:sz="8" w:space="0" w:color="auto"/>
              <w:bottom w:val="single" w:sz="8" w:space="0" w:color="auto"/>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15</w:t>
            </w:r>
          </w:p>
        </w:tc>
        <w:tc>
          <w:tcPr>
            <w:tcW w:w="9586"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Make payment of pensions on due date.</w:t>
            </w:r>
          </w:p>
        </w:tc>
        <w:tc>
          <w:tcPr>
            <w:tcW w:w="1720" w:type="dxa"/>
            <w:tcBorders>
              <w:top w:val="nil"/>
              <w:left w:val="nil"/>
              <w:bottom w:val="single" w:sz="8" w:space="0" w:color="auto"/>
              <w:right w:val="single" w:sz="8" w:space="0" w:color="auto"/>
            </w:tcBorders>
            <w:shd w:val="clear" w:color="000000" w:fill="EDF2F8"/>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c>
          <w:tcPr>
            <w:tcW w:w="1877" w:type="dxa"/>
            <w:tcBorders>
              <w:top w:val="nil"/>
              <w:left w:val="nil"/>
              <w:bottom w:val="single" w:sz="8" w:space="0" w:color="auto"/>
              <w:right w:val="single" w:sz="8" w:space="0" w:color="auto"/>
            </w:tcBorders>
            <w:shd w:val="clear" w:color="000000" w:fill="EDF2F8"/>
            <w:vAlign w:val="bottom"/>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c>
          <w:tcPr>
            <w:tcW w:w="1562" w:type="dxa"/>
            <w:tcBorders>
              <w:top w:val="nil"/>
              <w:left w:val="nil"/>
              <w:bottom w:val="single" w:sz="8" w:space="0" w:color="auto"/>
              <w:right w:val="single" w:sz="8" w:space="0" w:color="auto"/>
            </w:tcBorders>
            <w:shd w:val="clear" w:color="000000" w:fill="EDF2F8"/>
            <w:vAlign w:val="bottom"/>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16</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Production and distribution of annual P60s to pensioners within statutory deadlines.</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17</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Implementation of annual pension increases by payment due date.</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vMerge w:val="restart"/>
            <w:tcBorders>
              <w:top w:val="nil"/>
              <w:left w:val="single" w:sz="8" w:space="0" w:color="auto"/>
              <w:bottom w:val="single" w:sz="8" w:space="0" w:color="000000"/>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562"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18</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Implementation of change in pensioner circumstance including the calculation and quoting of benefits on death of pensioners and administering the recovery of overpayments by payment due date.</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99%</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99%</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19</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Undertake annual reviews to establish continuing entitlements to pension for children in accordance with the relevant Scheme regulations.</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tcBorders>
              <w:top w:val="nil"/>
              <w:left w:val="nil"/>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20</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To provide advice of benefits payable under the LCC redundancy scheme within 10 days of receipt of a request.</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8273E8">
        <w:trPr>
          <w:trHeight w:val="276"/>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tcBorders>
              <w:top w:val="nil"/>
              <w:left w:val="nil"/>
              <w:bottom w:val="single" w:sz="8" w:space="0" w:color="auto"/>
              <w:right w:val="single" w:sz="8" w:space="0" w:color="auto"/>
            </w:tcBorders>
            <w:shd w:val="clear" w:color="000000" w:fill="EDF2F8"/>
            <w:vAlign w:val="bottom"/>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c>
          <w:tcPr>
            <w:tcW w:w="1562" w:type="dxa"/>
            <w:tcBorders>
              <w:top w:val="nil"/>
              <w:left w:val="nil"/>
              <w:bottom w:val="single" w:sz="8" w:space="0" w:color="auto"/>
              <w:right w:val="single" w:sz="8" w:space="0" w:color="auto"/>
            </w:tcBorders>
            <w:shd w:val="clear" w:color="000000" w:fill="EDF2F8"/>
            <w:vAlign w:val="bottom"/>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r>
      <w:tr w:rsidR="008273E8" w:rsidRPr="008273E8" w:rsidTr="008273E8">
        <w:trPr>
          <w:trHeight w:val="264"/>
        </w:trPr>
        <w:tc>
          <w:tcPr>
            <w:tcW w:w="710"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21</w:t>
            </w:r>
          </w:p>
        </w:tc>
        <w:tc>
          <w:tcPr>
            <w:tcW w:w="9586" w:type="dxa"/>
            <w:vMerge w:val="restart"/>
            <w:tcBorders>
              <w:top w:val="nil"/>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xml:space="preserve">To pay benefits under the LCC redundancy scheme within 10 days of the final day of employment </w:t>
            </w: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F04FFC">
        <w:trPr>
          <w:trHeight w:val="264"/>
        </w:trPr>
        <w:tc>
          <w:tcPr>
            <w:tcW w:w="710"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F04FFC">
            <w:pPr>
              <w:spacing w:after="0" w:line="240" w:lineRule="auto"/>
              <w:rPr>
                <w:rFonts w:ascii="Arial" w:eastAsia="Times New Roman" w:hAnsi="Arial" w:cs="Arial"/>
                <w:color w:val="000000"/>
                <w:sz w:val="20"/>
                <w:szCs w:val="20"/>
                <w:lang w:eastAsia="en-GB"/>
              </w:rPr>
            </w:pPr>
          </w:p>
        </w:tc>
        <w:tc>
          <w:tcPr>
            <w:tcW w:w="1877" w:type="dxa"/>
            <w:tcBorders>
              <w:top w:val="nil"/>
              <w:left w:val="nil"/>
              <w:bottom w:val="nil"/>
              <w:right w:val="single" w:sz="8" w:space="0" w:color="auto"/>
            </w:tcBorders>
            <w:shd w:val="clear" w:color="000000" w:fill="EDF2F8"/>
            <w:vAlign w:val="bottom"/>
            <w:hideMark/>
          </w:tcPr>
          <w:p w:rsidR="008273E8" w:rsidRPr="008273E8" w:rsidRDefault="008273E8" w:rsidP="00F04FFC">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nil"/>
              <w:right w:val="single" w:sz="8" w:space="0" w:color="auto"/>
            </w:tcBorders>
            <w:shd w:val="clear" w:color="000000" w:fill="EDF2F8"/>
            <w:vAlign w:val="bottom"/>
            <w:hideMark/>
          </w:tcPr>
          <w:p w:rsidR="008273E8" w:rsidRPr="008273E8" w:rsidRDefault="008273E8" w:rsidP="00F04FFC">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F04FFC">
        <w:trPr>
          <w:trHeight w:val="276"/>
        </w:trPr>
        <w:tc>
          <w:tcPr>
            <w:tcW w:w="710" w:type="dxa"/>
            <w:vMerge/>
            <w:tcBorders>
              <w:top w:val="nil"/>
              <w:left w:val="single" w:sz="8" w:space="0" w:color="auto"/>
              <w:bottom w:val="single" w:sz="4" w:space="0" w:color="auto"/>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nil"/>
              <w:left w:val="single" w:sz="8" w:space="0" w:color="auto"/>
              <w:bottom w:val="single" w:sz="4" w:space="0" w:color="auto"/>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4" w:space="0" w:color="auto"/>
              <w:right w:val="single" w:sz="8" w:space="0" w:color="auto"/>
            </w:tcBorders>
            <w:shd w:val="clear" w:color="000000" w:fill="EDF2F8"/>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p w:rsidR="00F04FFC" w:rsidRDefault="00F04FFC" w:rsidP="008273E8">
            <w:pPr>
              <w:spacing w:after="0" w:line="240" w:lineRule="auto"/>
              <w:jc w:val="center"/>
              <w:rPr>
                <w:rFonts w:ascii="Arial" w:eastAsia="Times New Roman" w:hAnsi="Arial" w:cs="Arial"/>
                <w:color w:val="000000"/>
                <w:sz w:val="20"/>
                <w:szCs w:val="20"/>
                <w:lang w:eastAsia="en-GB"/>
              </w:rPr>
            </w:pP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c>
          <w:tcPr>
            <w:tcW w:w="1877" w:type="dxa"/>
            <w:tcBorders>
              <w:top w:val="nil"/>
              <w:left w:val="nil"/>
              <w:bottom w:val="single" w:sz="4" w:space="0" w:color="auto"/>
              <w:right w:val="single" w:sz="8" w:space="0" w:color="auto"/>
            </w:tcBorders>
            <w:shd w:val="clear" w:color="000000" w:fill="EDF2F8"/>
            <w:vAlign w:val="bottom"/>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96%</w:t>
            </w:r>
          </w:p>
          <w:p w:rsidR="00F04FFC" w:rsidRDefault="00F04FFC" w:rsidP="008273E8">
            <w:pPr>
              <w:spacing w:after="0" w:line="240" w:lineRule="auto"/>
              <w:jc w:val="center"/>
              <w:rPr>
                <w:rFonts w:ascii="Arial" w:eastAsia="Times New Roman" w:hAnsi="Arial" w:cs="Arial"/>
                <w:color w:val="000000"/>
                <w:sz w:val="20"/>
                <w:szCs w:val="20"/>
                <w:lang w:eastAsia="en-GB"/>
              </w:rPr>
            </w:pP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c>
          <w:tcPr>
            <w:tcW w:w="1562" w:type="dxa"/>
            <w:tcBorders>
              <w:top w:val="nil"/>
              <w:left w:val="nil"/>
              <w:bottom w:val="single" w:sz="4" w:space="0" w:color="auto"/>
              <w:right w:val="single" w:sz="8" w:space="0" w:color="auto"/>
            </w:tcBorders>
            <w:shd w:val="clear" w:color="000000" w:fill="EDF2F8"/>
            <w:vAlign w:val="bottom"/>
            <w:hideMark/>
          </w:tcPr>
          <w:p w:rsid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96%</w:t>
            </w:r>
          </w:p>
          <w:p w:rsidR="00F04FFC" w:rsidRDefault="00F04FFC" w:rsidP="008273E8">
            <w:pPr>
              <w:spacing w:after="0" w:line="240" w:lineRule="auto"/>
              <w:jc w:val="center"/>
              <w:rPr>
                <w:rFonts w:ascii="Arial" w:eastAsia="Times New Roman" w:hAnsi="Arial" w:cs="Arial"/>
                <w:color w:val="000000"/>
                <w:sz w:val="20"/>
                <w:szCs w:val="20"/>
                <w:lang w:eastAsia="en-GB"/>
              </w:rPr>
            </w:pPr>
          </w:p>
          <w:p w:rsidR="00F04FFC" w:rsidRPr="008273E8" w:rsidRDefault="00F04FFC" w:rsidP="008273E8">
            <w:pPr>
              <w:spacing w:after="0" w:line="240" w:lineRule="auto"/>
              <w:jc w:val="center"/>
              <w:rPr>
                <w:rFonts w:ascii="Arial" w:eastAsia="Times New Roman" w:hAnsi="Arial" w:cs="Arial"/>
                <w:color w:val="000000"/>
                <w:sz w:val="20"/>
                <w:szCs w:val="20"/>
                <w:lang w:eastAsia="en-GB"/>
              </w:rPr>
            </w:pPr>
          </w:p>
        </w:tc>
      </w:tr>
      <w:tr w:rsidR="008273E8" w:rsidRPr="008273E8" w:rsidTr="00F04FFC">
        <w:trPr>
          <w:trHeight w:val="264"/>
        </w:trPr>
        <w:tc>
          <w:tcPr>
            <w:tcW w:w="710" w:type="dxa"/>
            <w:vMerge w:val="restart"/>
            <w:tcBorders>
              <w:top w:val="single" w:sz="4" w:space="0" w:color="auto"/>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jc w:val="both"/>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lastRenderedPageBreak/>
              <w:t>22</w:t>
            </w:r>
          </w:p>
        </w:tc>
        <w:tc>
          <w:tcPr>
            <w:tcW w:w="9586" w:type="dxa"/>
            <w:vMerge w:val="restart"/>
            <w:tcBorders>
              <w:top w:val="single" w:sz="4" w:space="0" w:color="auto"/>
              <w:left w:val="single" w:sz="8" w:space="0" w:color="auto"/>
              <w:bottom w:val="single" w:sz="8" w:space="0" w:color="000000"/>
              <w:right w:val="single" w:sz="8" w:space="0" w:color="auto"/>
            </w:tcBorders>
            <w:shd w:val="clear" w:color="000000" w:fill="EDF2F8"/>
            <w:hideMark/>
          </w:tcPr>
          <w:p w:rsidR="008273E8" w:rsidRPr="008273E8" w:rsidRDefault="008273E8" w:rsidP="008273E8">
            <w:pPr>
              <w:spacing w:after="0" w:line="240" w:lineRule="auto"/>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To complete investigations of appeals under stage 2 of the Internal Dispute Resolution Procedure within the statutory timescales in 100% of cases.</w:t>
            </w:r>
          </w:p>
        </w:tc>
        <w:tc>
          <w:tcPr>
            <w:tcW w:w="1720" w:type="dxa"/>
            <w:tcBorders>
              <w:top w:val="single" w:sz="4" w:space="0" w:color="auto"/>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single" w:sz="4" w:space="0" w:color="auto"/>
              <w:left w:val="nil"/>
              <w:bottom w:val="nil"/>
              <w:right w:val="nil"/>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single" w:sz="4" w:space="0" w:color="auto"/>
              <w:left w:val="single" w:sz="8" w:space="0" w:color="auto"/>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F04FFC">
        <w:trPr>
          <w:trHeight w:val="264"/>
        </w:trPr>
        <w:tc>
          <w:tcPr>
            <w:tcW w:w="710" w:type="dxa"/>
            <w:vMerge/>
            <w:tcBorders>
              <w:top w:val="single" w:sz="8" w:space="0" w:color="000000"/>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single" w:sz="8" w:space="0" w:color="000000"/>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877" w:type="dxa"/>
            <w:tcBorders>
              <w:top w:val="nil"/>
              <w:left w:val="nil"/>
              <w:bottom w:val="nil"/>
              <w:right w:val="nil"/>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c>
          <w:tcPr>
            <w:tcW w:w="1562" w:type="dxa"/>
            <w:tcBorders>
              <w:top w:val="nil"/>
              <w:left w:val="single" w:sz="8" w:space="0" w:color="auto"/>
              <w:bottom w:val="nil"/>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 </w:t>
            </w:r>
          </w:p>
        </w:tc>
      </w:tr>
      <w:tr w:rsidR="008273E8" w:rsidRPr="008273E8" w:rsidTr="00F04FFC">
        <w:trPr>
          <w:trHeight w:val="276"/>
        </w:trPr>
        <w:tc>
          <w:tcPr>
            <w:tcW w:w="710" w:type="dxa"/>
            <w:vMerge/>
            <w:tcBorders>
              <w:top w:val="single" w:sz="8" w:space="0" w:color="000000"/>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9586" w:type="dxa"/>
            <w:vMerge/>
            <w:tcBorders>
              <w:top w:val="single" w:sz="8" w:space="0" w:color="000000"/>
              <w:left w:val="single" w:sz="8" w:space="0" w:color="auto"/>
              <w:bottom w:val="single" w:sz="8" w:space="0" w:color="000000"/>
              <w:right w:val="single" w:sz="8" w:space="0" w:color="auto"/>
            </w:tcBorders>
            <w:vAlign w:val="center"/>
            <w:hideMark/>
          </w:tcPr>
          <w:p w:rsidR="008273E8" w:rsidRPr="008273E8" w:rsidRDefault="008273E8" w:rsidP="008273E8">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8" w:space="0" w:color="auto"/>
              <w:right w:val="single" w:sz="8" w:space="0" w:color="auto"/>
            </w:tcBorders>
            <w:shd w:val="clear" w:color="000000" w:fill="EDF2F8"/>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877" w:type="dxa"/>
            <w:tcBorders>
              <w:top w:val="nil"/>
              <w:left w:val="nil"/>
              <w:bottom w:val="single" w:sz="8" w:space="0" w:color="auto"/>
              <w:right w:val="nil"/>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c>
          <w:tcPr>
            <w:tcW w:w="1562" w:type="dxa"/>
            <w:tcBorders>
              <w:top w:val="nil"/>
              <w:left w:val="single" w:sz="8" w:space="0" w:color="auto"/>
              <w:bottom w:val="single" w:sz="8" w:space="0" w:color="auto"/>
              <w:right w:val="single" w:sz="8" w:space="0" w:color="auto"/>
            </w:tcBorders>
            <w:shd w:val="clear" w:color="000000" w:fill="EDF2F8"/>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r w:rsidRPr="008273E8">
              <w:rPr>
                <w:rFonts w:ascii="Arial" w:eastAsia="Times New Roman" w:hAnsi="Arial" w:cs="Arial"/>
                <w:color w:val="000000"/>
                <w:sz w:val="20"/>
                <w:szCs w:val="20"/>
                <w:lang w:eastAsia="en-GB"/>
              </w:rPr>
              <w:t>100%</w:t>
            </w:r>
          </w:p>
        </w:tc>
      </w:tr>
      <w:tr w:rsidR="008273E8" w:rsidRPr="008273E8" w:rsidTr="008273E8">
        <w:trPr>
          <w:trHeight w:val="264"/>
        </w:trPr>
        <w:tc>
          <w:tcPr>
            <w:tcW w:w="710" w:type="dxa"/>
            <w:tcBorders>
              <w:top w:val="nil"/>
              <w:left w:val="nil"/>
              <w:bottom w:val="nil"/>
              <w:right w:val="nil"/>
            </w:tcBorders>
            <w:shd w:val="clear" w:color="auto" w:fill="auto"/>
            <w:noWrap/>
            <w:vAlign w:val="bottom"/>
            <w:hideMark/>
          </w:tcPr>
          <w:p w:rsidR="008273E8" w:rsidRPr="008273E8" w:rsidRDefault="008273E8" w:rsidP="008273E8">
            <w:pPr>
              <w:spacing w:after="0" w:line="240" w:lineRule="auto"/>
              <w:jc w:val="center"/>
              <w:rPr>
                <w:rFonts w:ascii="Arial" w:eastAsia="Times New Roman" w:hAnsi="Arial" w:cs="Arial"/>
                <w:color w:val="000000"/>
                <w:sz w:val="20"/>
                <w:szCs w:val="20"/>
                <w:lang w:eastAsia="en-GB"/>
              </w:rPr>
            </w:pPr>
          </w:p>
        </w:tc>
        <w:tc>
          <w:tcPr>
            <w:tcW w:w="9586" w:type="dxa"/>
            <w:tcBorders>
              <w:top w:val="nil"/>
              <w:left w:val="nil"/>
              <w:bottom w:val="nil"/>
              <w:right w:val="nil"/>
            </w:tcBorders>
            <w:shd w:val="clear" w:color="auto" w:fill="auto"/>
            <w:noWrap/>
            <w:vAlign w:val="bottom"/>
            <w:hideMark/>
          </w:tcPr>
          <w:p w:rsidR="008273E8" w:rsidRPr="008273E8" w:rsidRDefault="008273E8" w:rsidP="008273E8">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rsidR="008273E8" w:rsidRPr="008273E8" w:rsidRDefault="008273E8" w:rsidP="008273E8">
            <w:pPr>
              <w:spacing w:after="0" w:line="240" w:lineRule="auto"/>
              <w:rPr>
                <w:rFonts w:ascii="Times New Roman" w:eastAsia="Times New Roman" w:hAnsi="Times New Roman" w:cs="Times New Roman"/>
                <w:sz w:val="20"/>
                <w:szCs w:val="20"/>
                <w:lang w:eastAsia="en-GB"/>
              </w:rPr>
            </w:pPr>
          </w:p>
        </w:tc>
        <w:tc>
          <w:tcPr>
            <w:tcW w:w="1877" w:type="dxa"/>
            <w:tcBorders>
              <w:top w:val="nil"/>
              <w:left w:val="nil"/>
              <w:bottom w:val="nil"/>
              <w:right w:val="nil"/>
            </w:tcBorders>
            <w:shd w:val="clear" w:color="auto" w:fill="auto"/>
            <w:noWrap/>
            <w:vAlign w:val="bottom"/>
            <w:hideMark/>
          </w:tcPr>
          <w:p w:rsidR="008273E8" w:rsidRPr="008273E8" w:rsidRDefault="008273E8" w:rsidP="008273E8">
            <w:pPr>
              <w:spacing w:after="0" w:line="240" w:lineRule="auto"/>
              <w:rPr>
                <w:rFonts w:ascii="Times New Roman" w:eastAsia="Times New Roman" w:hAnsi="Times New Roman" w:cs="Times New Roman"/>
                <w:sz w:val="20"/>
                <w:szCs w:val="20"/>
                <w:lang w:eastAsia="en-GB"/>
              </w:rPr>
            </w:pPr>
          </w:p>
        </w:tc>
        <w:tc>
          <w:tcPr>
            <w:tcW w:w="1562" w:type="dxa"/>
            <w:tcBorders>
              <w:top w:val="nil"/>
              <w:left w:val="nil"/>
              <w:bottom w:val="nil"/>
              <w:right w:val="nil"/>
            </w:tcBorders>
            <w:shd w:val="clear" w:color="auto" w:fill="auto"/>
            <w:noWrap/>
            <w:vAlign w:val="bottom"/>
            <w:hideMark/>
          </w:tcPr>
          <w:p w:rsidR="008273E8" w:rsidRPr="008273E8" w:rsidRDefault="008273E8" w:rsidP="008273E8">
            <w:pPr>
              <w:spacing w:after="0" w:line="240" w:lineRule="auto"/>
              <w:jc w:val="center"/>
              <w:rPr>
                <w:rFonts w:ascii="Times New Roman" w:eastAsia="Times New Roman" w:hAnsi="Times New Roman" w:cs="Times New Roman"/>
                <w:sz w:val="20"/>
                <w:szCs w:val="20"/>
                <w:lang w:eastAsia="en-GB"/>
              </w:rPr>
            </w:pPr>
          </w:p>
        </w:tc>
      </w:tr>
    </w:tbl>
    <w:p w:rsidR="008273E8" w:rsidRPr="008273E8" w:rsidRDefault="008273E8">
      <w:pPr>
        <w:rPr>
          <w:rFonts w:ascii="Arial" w:hAnsi="Arial" w:cs="Arial"/>
          <w:sz w:val="32"/>
          <w:szCs w:val="32"/>
        </w:rPr>
      </w:pPr>
    </w:p>
    <w:sectPr w:rsidR="008273E8" w:rsidRPr="008273E8" w:rsidSect="008273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E8"/>
    <w:rsid w:val="001C3D2E"/>
    <w:rsid w:val="003E529B"/>
    <w:rsid w:val="008273E8"/>
    <w:rsid w:val="00F04FFC"/>
    <w:rsid w:val="00F2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C467-FBEC-4735-82B8-028E6DDE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 Diane</dc:creator>
  <cp:lastModifiedBy>Gorman, Dave</cp:lastModifiedBy>
  <cp:revision>3</cp:revision>
  <dcterms:created xsi:type="dcterms:W3CDTF">2015-06-24T07:09:00Z</dcterms:created>
  <dcterms:modified xsi:type="dcterms:W3CDTF">2015-06-24T10:20:00Z</dcterms:modified>
</cp:coreProperties>
</file>